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F0" w:rsidRPr="004364F0" w:rsidRDefault="004364F0" w:rsidP="00880E16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4364F0">
        <w:rPr>
          <w:rFonts w:asciiTheme="majorBidi" w:hAnsiTheme="majorBidi" w:cstheme="majorBidi"/>
          <w:b/>
          <w:bCs/>
        </w:rPr>
        <w:t>DESIGN OF FUTURE REVASCULARIZATION EVALUATION IN PATIENTS WITH DIABETES MELLITUS: OPTIMAL MANAGEMENT OF MULTIVESSEL DISEASE (FREEDOM TRIAL)</w:t>
      </w:r>
    </w:p>
    <w:p w:rsidR="004364F0" w:rsidRPr="004364F0" w:rsidRDefault="004364F0" w:rsidP="004364F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u w:val="single"/>
        </w:rPr>
      </w:pPr>
      <w:r w:rsidRPr="004364F0">
        <w:rPr>
          <w:rFonts w:asciiTheme="majorBidi" w:hAnsiTheme="majorBidi" w:cstheme="majorBidi"/>
          <w:b/>
          <w:bCs/>
          <w:u w:val="single"/>
        </w:rPr>
        <w:t>M</w:t>
      </w:r>
      <w:r w:rsidRPr="004364F0">
        <w:rPr>
          <w:rFonts w:asciiTheme="majorBidi" w:hAnsiTheme="majorBidi" w:cstheme="majorBidi"/>
          <w:b/>
          <w:bCs/>
          <w:u w:val="single"/>
        </w:rPr>
        <w:t xml:space="preserve">. </w:t>
      </w:r>
      <w:proofErr w:type="spellStart"/>
      <w:r w:rsidRPr="004364F0">
        <w:rPr>
          <w:rFonts w:asciiTheme="majorBidi" w:hAnsiTheme="majorBidi" w:cstheme="majorBidi"/>
          <w:b/>
          <w:bCs/>
          <w:u w:val="single"/>
        </w:rPr>
        <w:t>Farkouh</w:t>
      </w:r>
      <w:proofErr w:type="spellEnd"/>
      <w:r w:rsidRPr="004364F0">
        <w:rPr>
          <w:rFonts w:asciiTheme="majorBidi" w:hAnsiTheme="majorBidi" w:cstheme="majorBidi"/>
          <w:u w:val="single"/>
        </w:rPr>
        <w:t xml:space="preserve"> </w:t>
      </w:r>
    </w:p>
    <w:p w:rsidR="004364F0" w:rsidRPr="004364F0" w:rsidRDefault="004364F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4364F0">
        <w:rPr>
          <w:rFonts w:asciiTheme="majorBidi" w:hAnsiTheme="majorBidi" w:cstheme="majorBidi"/>
        </w:rPr>
        <w:t>University of Toronto, ON, Canada</w:t>
      </w:r>
      <w:bookmarkStart w:id="0" w:name="_GoBack"/>
      <w:bookmarkEnd w:id="0"/>
    </w:p>
    <w:p w:rsidR="004364F0" w:rsidRPr="004364F0" w:rsidRDefault="004364F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</w:p>
    <w:p w:rsidR="004364F0" w:rsidRPr="004364F0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4364F0">
        <w:rPr>
          <w:rFonts w:asciiTheme="majorBidi" w:hAnsiTheme="majorBidi" w:cstheme="majorBidi"/>
        </w:rPr>
        <w:t xml:space="preserve">Indication: Treatment of </w:t>
      </w:r>
      <w:proofErr w:type="spellStart"/>
      <w:r w:rsidRPr="004364F0">
        <w:rPr>
          <w:rFonts w:asciiTheme="majorBidi" w:hAnsiTheme="majorBidi" w:cstheme="majorBidi"/>
        </w:rPr>
        <w:t>multivessel</w:t>
      </w:r>
      <w:proofErr w:type="spellEnd"/>
      <w:r w:rsidRPr="004364F0">
        <w:rPr>
          <w:rFonts w:asciiTheme="majorBidi" w:hAnsiTheme="majorBidi" w:cstheme="majorBidi"/>
        </w:rPr>
        <w:t xml:space="preserve"> coronary artery disease (CAD) in patients with diabetes.</w:t>
      </w:r>
    </w:p>
    <w:p w:rsidR="004364F0" w:rsidRPr="004364F0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4364F0">
        <w:rPr>
          <w:rFonts w:asciiTheme="majorBidi" w:hAnsiTheme="majorBidi" w:cstheme="majorBidi"/>
        </w:rPr>
        <w:t>Objective: To evaluate whether percutaneous coronary intervention (PCI) with drug-eluting stenting (PCI/DES) is more or less effective than the existing standard of care, coronary artery bypass surgery (CABG)</w:t>
      </w:r>
    </w:p>
    <w:p w:rsidR="004364F0" w:rsidRPr="004364F0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4364F0">
        <w:rPr>
          <w:rFonts w:asciiTheme="majorBidi" w:hAnsiTheme="majorBidi" w:cstheme="majorBidi"/>
        </w:rPr>
        <w:t xml:space="preserve">Subject Population: 1,900 adults with diabetes mellitus (Type 1 or Type 2) with </w:t>
      </w:r>
      <w:proofErr w:type="spellStart"/>
      <w:r w:rsidRPr="004364F0">
        <w:rPr>
          <w:rFonts w:asciiTheme="majorBidi" w:hAnsiTheme="majorBidi" w:cstheme="majorBidi"/>
        </w:rPr>
        <w:t>angiographically</w:t>
      </w:r>
      <w:proofErr w:type="spellEnd"/>
      <w:r w:rsidRPr="004364F0">
        <w:rPr>
          <w:rFonts w:asciiTheme="majorBidi" w:hAnsiTheme="majorBidi" w:cstheme="majorBidi"/>
        </w:rPr>
        <w:t xml:space="preserve"> confirmed </w:t>
      </w:r>
      <w:proofErr w:type="spellStart"/>
      <w:r w:rsidRPr="004364F0">
        <w:rPr>
          <w:rFonts w:asciiTheme="majorBidi" w:hAnsiTheme="majorBidi" w:cstheme="majorBidi"/>
        </w:rPr>
        <w:t>multivessel</w:t>
      </w:r>
      <w:proofErr w:type="spellEnd"/>
      <w:r w:rsidRPr="004364F0">
        <w:rPr>
          <w:rFonts w:asciiTheme="majorBidi" w:hAnsiTheme="majorBidi" w:cstheme="majorBidi"/>
        </w:rPr>
        <w:t xml:space="preserve"> CAD and morphology amenable to either PCI or CABG, with indication for revascularization based upon symptoms or angina and/or objective evidence of myocardial ischemia.</w:t>
      </w:r>
    </w:p>
    <w:p w:rsidR="004364F0" w:rsidRPr="004364F0" w:rsidRDefault="004364F0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4364F0">
        <w:rPr>
          <w:rFonts w:asciiTheme="majorBidi" w:hAnsiTheme="majorBidi" w:cstheme="majorBidi"/>
        </w:rPr>
        <w:t xml:space="preserve">Study Design: </w:t>
      </w:r>
      <w:r w:rsidR="00B921ED" w:rsidRPr="004364F0">
        <w:rPr>
          <w:rFonts w:asciiTheme="majorBidi" w:hAnsiTheme="majorBidi" w:cstheme="majorBidi"/>
        </w:rPr>
        <w:t xml:space="preserve">Multicenter, two-arm, open label prospective randomized superiority trial with equal allocation, of 6.75 years duration with a minimum of 2.0 years of follow-up. Patients who consent will be randomized on a 1:1 basis either to CABG or </w:t>
      </w:r>
      <w:proofErr w:type="spellStart"/>
      <w:r w:rsidR="00B921ED" w:rsidRPr="004364F0">
        <w:rPr>
          <w:rFonts w:asciiTheme="majorBidi" w:hAnsiTheme="majorBidi" w:cstheme="majorBidi"/>
        </w:rPr>
        <w:t>multivessel</w:t>
      </w:r>
      <w:proofErr w:type="spellEnd"/>
      <w:r w:rsidR="00B921ED" w:rsidRPr="004364F0">
        <w:rPr>
          <w:rFonts w:asciiTheme="majorBidi" w:hAnsiTheme="majorBidi" w:cstheme="majorBidi"/>
        </w:rPr>
        <w:t xml:space="preserve"> stenting using drug-eluting stents, and followed at 30 days, 1 year and then annually for at least 2.0 years but up to 6.75 years. </w:t>
      </w:r>
    </w:p>
    <w:p w:rsidR="004364F0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4364F0">
        <w:rPr>
          <w:rFonts w:asciiTheme="majorBidi" w:hAnsiTheme="majorBidi" w:cstheme="majorBidi"/>
        </w:rPr>
        <w:t xml:space="preserve">Primary Endpoint: The composite of all-cause mortality, nonfatal myocardial infarction and stroke at the end of the 6.75-year patient accrual and follow-up period </w:t>
      </w:r>
    </w:p>
    <w:p w:rsidR="00B921ED" w:rsidRPr="004364F0" w:rsidRDefault="00B921ED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4364F0">
        <w:rPr>
          <w:rFonts w:asciiTheme="majorBidi" w:hAnsiTheme="majorBidi" w:cstheme="majorBidi"/>
        </w:rPr>
        <w:t>(</w:t>
      </w:r>
      <w:proofErr w:type="gramStart"/>
      <w:r w:rsidRPr="004364F0">
        <w:rPr>
          <w:rFonts w:asciiTheme="majorBidi" w:hAnsiTheme="majorBidi" w:cstheme="majorBidi"/>
        </w:rPr>
        <w:t>minimum</w:t>
      </w:r>
      <w:proofErr w:type="gramEnd"/>
      <w:r w:rsidRPr="004364F0">
        <w:rPr>
          <w:rFonts w:asciiTheme="majorBidi" w:hAnsiTheme="majorBidi" w:cstheme="majorBidi"/>
        </w:rPr>
        <w:t xml:space="preserve"> follow-up 2.0 years).</w:t>
      </w:r>
    </w:p>
    <w:p w:rsidR="00B921ED" w:rsidRPr="004364F0" w:rsidRDefault="00B921E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sectPr w:rsidR="00B921ED" w:rsidRPr="004364F0" w:rsidSect="00880E1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16" w:rsidRDefault="00880E16" w:rsidP="00880E16">
      <w:r>
        <w:separator/>
      </w:r>
    </w:p>
  </w:endnote>
  <w:endnote w:type="continuationSeparator" w:id="0">
    <w:p w:rsidR="00880E16" w:rsidRDefault="00880E16" w:rsidP="0088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16" w:rsidRDefault="00880E16" w:rsidP="00880E16">
      <w:r>
        <w:separator/>
      </w:r>
    </w:p>
  </w:footnote>
  <w:footnote w:type="continuationSeparator" w:id="0">
    <w:p w:rsidR="00880E16" w:rsidRDefault="00880E16" w:rsidP="0088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16" w:rsidRDefault="00880E16" w:rsidP="00880E16">
    <w:pPr>
      <w:pStyle w:val="Header"/>
    </w:pPr>
    <w:r>
      <w:t>3099</w:t>
    </w:r>
  </w:p>
  <w:p w:rsidR="00880E16" w:rsidRDefault="00880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364F0"/>
    <w:rsid w:val="00447B2F"/>
    <w:rsid w:val="00880E16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E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977991C9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2012-04-18T12:47:00Z</dcterms:created>
  <dcterms:modified xsi:type="dcterms:W3CDTF">2012-04-18T12:48:00Z</dcterms:modified>
</cp:coreProperties>
</file>